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20D42AD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8CB7855">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067BA13F">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FE59107">
      <w:pPr>
        <w:pStyle w:val="196"/>
        <w:framePr w:wrap="around"/>
      </w:pPr>
      <w:r>
        <w:t>Q/</w:t>
      </w:r>
      <w:bookmarkStart w:id="1" w:name="文字1"/>
      <w:r>
        <w:rPr>
          <w:rFonts w:hint="eastAsia"/>
        </w:rPr>
        <w:fldChar w:fldCharType="begin">
          <w:ffData>
            <w:name w:val="文字1"/>
            <w:enabled/>
            <w:calcOnExit w:val="0"/>
            <w:textInput>
              <w:default w:val="YLBZ 18"/>
            </w:textInput>
          </w:ffData>
        </w:fldChar>
      </w:r>
      <w:r>
        <w:rPr>
          <w:rFonts w:hint="eastAsia"/>
        </w:rPr>
        <w:instrText xml:space="preserve">FORMTEXT</w:instrText>
      </w:r>
      <w:r>
        <w:rPr>
          <w:rFonts w:hint="eastAsia"/>
        </w:rPr>
        <w:fldChar w:fldCharType="separate"/>
      </w:r>
      <w:r>
        <w:rPr>
          <w:rFonts w:hint="eastAsia"/>
        </w:rPr>
        <w:t>YLBZ 18</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34F99AA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AEBBBA">
      <w:pPr>
        <w:pStyle w:val="51"/>
        <w:framePr w:w="9639" w:h="6976" w:hRule="exact" w:hSpace="0" w:vSpace="0" w:wrap="around" w:hAnchor="page" w:y="6408"/>
        <w:jc w:val="center"/>
        <w:rPr>
          <w:rFonts w:hint="eastAsia" w:ascii="黑体" w:hAnsi="黑体" w:eastAsia="黑体"/>
          <w:b w:val="0"/>
          <w:bCs w:val="0"/>
          <w:w w:val="100"/>
        </w:rPr>
      </w:pPr>
    </w:p>
    <w:p w14:paraId="5864BE36">
      <w:pPr>
        <w:pStyle w:val="198"/>
        <w:framePr w:h="6974" w:hRule="exact" w:wrap="around" w:x="1419" w:anchorLock="1"/>
        <w:rPr>
          <w:rFonts w:hint="eastAsia"/>
        </w:rPr>
      </w:pPr>
      <w:r>
        <w:rPr>
          <w:rFonts w:hint="eastAsia"/>
        </w:rPr>
        <w:t>参保人员死亡后医疗保险个人账户</w:t>
      </w:r>
    </w:p>
    <w:p w14:paraId="2BE2102F">
      <w:pPr>
        <w:pStyle w:val="198"/>
        <w:framePr w:h="6974" w:hRule="exact" w:wrap="around" w:x="1419" w:anchorLock="1"/>
        <w:rPr>
          <w:rFonts w:hint="eastAsia"/>
        </w:rPr>
      </w:pPr>
      <w:r>
        <w:rPr>
          <w:rFonts w:hint="eastAsia"/>
        </w:rPr>
        <w:t>一次性支取工作指南</w:t>
      </w:r>
    </w:p>
    <w:p w14:paraId="1A93AA80">
      <w:pPr>
        <w:framePr w:w="9639" w:h="6974" w:hRule="exact" w:wrap="around" w:vAnchor="page" w:hAnchor="page" w:x="1419" w:y="6408" w:anchorLock="1"/>
        <w:ind w:left="-1418"/>
      </w:pPr>
    </w:p>
    <w:p w14:paraId="2E00B8A8">
      <w:pPr>
        <w:pStyle w:val="126"/>
        <w:framePr w:w="9639" w:h="6974" w:hRule="exact" w:wrap="around" w:vAnchor="page" w:hAnchor="page" w:x="1419" w:y="6408" w:anchorLock="1"/>
        <w:textAlignment w:val="bottom"/>
        <w:rPr>
          <w:rFonts w:eastAsia="黑体"/>
          <w:szCs w:val="28"/>
        </w:rPr>
      </w:pPr>
    </w:p>
    <w:p w14:paraId="6CB8DBCC">
      <w:pPr>
        <w:framePr w:w="9639" w:h="6974" w:hRule="exact" w:wrap="around" w:vAnchor="page" w:hAnchor="page" w:x="1419" w:y="6408" w:anchorLock="1"/>
        <w:spacing w:line="760" w:lineRule="exact"/>
        <w:ind w:left="-1418"/>
      </w:pPr>
    </w:p>
    <w:p w14:paraId="0AD507FD">
      <w:pPr>
        <w:pStyle w:val="126"/>
        <w:framePr w:w="9639" w:h="6974" w:hRule="exact" w:wrap="around" w:vAnchor="page" w:hAnchor="page" w:x="1419" w:y="6408" w:anchorLock="1"/>
        <w:textAlignment w:val="bottom"/>
        <w:rPr>
          <w:rFonts w:eastAsia="黑体"/>
          <w:szCs w:val="28"/>
        </w:rPr>
      </w:pPr>
    </w:p>
    <w:p w14:paraId="29A0378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027ED584">
      <w:pPr>
        <w:pStyle w:val="126"/>
        <w:framePr w:w="9639" w:h="6974" w:hRule="exact" w:wrap="around" w:vAnchor="page" w:hAnchor="page" w:x="1419" w:y="6408" w:anchorLock="1"/>
        <w:spacing w:before="180" w:line="240" w:lineRule="atLeast"/>
        <w:textAlignment w:val="bottom"/>
        <w:rPr>
          <w:sz w:val="21"/>
          <w:szCs w:val="28"/>
        </w:rPr>
      </w:pPr>
    </w:p>
    <w:p w14:paraId="56D1E784">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4DABA67F">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4D1F2410">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3EB7500E">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987058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ECAB3E">
      <w:pPr>
        <w:pStyle w:val="90"/>
        <w:spacing w:after="468"/>
      </w:pPr>
      <w:bookmarkStart w:id="5" w:name="BookMark2"/>
      <w:r>
        <w:rPr>
          <w:spacing w:val="320"/>
        </w:rPr>
        <w:t>前</w:t>
      </w:r>
      <w:r>
        <w:t>言</w:t>
      </w:r>
    </w:p>
    <w:p w14:paraId="71724C20">
      <w:pPr>
        <w:pStyle w:val="57"/>
        <w:ind w:firstLine="420"/>
      </w:pPr>
      <w:r>
        <w:rPr>
          <w:rFonts w:hint="eastAsia"/>
        </w:rPr>
        <w:t>本文件按照GB/T 1.1—2020《标准化工作导则  第1部分：标准化文件的结构和起草规则》的规定起草。</w:t>
      </w:r>
    </w:p>
    <w:p w14:paraId="48DF6953">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3DD87F2D">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3593BC03">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7FA090AF">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DDB825C">
      <w:pPr>
        <w:pStyle w:val="57"/>
        <w:ind w:firstLine="420"/>
        <w:rPr>
          <w:color w:val="000000" w:themeColor="text1"/>
          <w14:textFill>
            <w14:solidFill>
              <w14:schemeClr w14:val="tx1"/>
            </w14:solidFill>
          </w14:textFill>
        </w:rPr>
      </w:pPr>
    </w:p>
    <w:p w14:paraId="7924D5C4">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1529B1F2">
      <w:pPr>
        <w:spacing w:line="20" w:lineRule="exact"/>
        <w:jc w:val="center"/>
        <w:rPr>
          <w:rFonts w:hint="eastAsia" w:ascii="黑体" w:hAnsi="黑体" w:eastAsia="黑体"/>
          <w:sz w:val="32"/>
          <w:szCs w:val="32"/>
        </w:rPr>
      </w:pPr>
      <w:bookmarkStart w:id="6" w:name="BookMark4"/>
    </w:p>
    <w:p w14:paraId="7B9C608F">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39315160">
          <w:pPr>
            <w:pStyle w:val="178"/>
            <w:spacing w:before="312" w:beforeLines="100" w:after="686" w:afterLines="220"/>
            <w:rPr>
              <w:rFonts w:hint="eastAsia"/>
            </w:rPr>
          </w:pPr>
          <w:bookmarkStart w:id="7" w:name="NEW_STAND_NAME"/>
          <w:r>
            <w:rPr>
              <w:rFonts w:hint="eastAsia"/>
            </w:rPr>
            <w:t>参保人员死亡后医疗保险个人账户一次性支取工作指南</w:t>
          </w:r>
        </w:p>
      </w:sdtContent>
    </w:sdt>
    <w:bookmarkEnd w:id="7"/>
    <w:p w14:paraId="340B9A6E">
      <w:pPr>
        <w:pStyle w:val="105"/>
        <w:spacing w:before="312" w:after="312"/>
      </w:pPr>
      <w:bookmarkStart w:id="8" w:name="_Toc24884218"/>
      <w:bookmarkStart w:id="9" w:name="_Toc24884211"/>
      <w:bookmarkStart w:id="10" w:name="_Toc17233333"/>
      <w:bookmarkStart w:id="11" w:name="_Toc26986771"/>
      <w:bookmarkStart w:id="12" w:name="_Toc26718930"/>
      <w:bookmarkStart w:id="13" w:name="_Toc26648465"/>
      <w:bookmarkStart w:id="14" w:name="_Toc26986530"/>
      <w:bookmarkStart w:id="15" w:name="_Toc17233325"/>
      <w:r>
        <w:rPr>
          <w:rFonts w:hint="eastAsia"/>
        </w:rPr>
        <w:t>范围</w:t>
      </w:r>
      <w:bookmarkEnd w:id="8"/>
      <w:bookmarkEnd w:id="9"/>
      <w:bookmarkEnd w:id="10"/>
      <w:bookmarkEnd w:id="11"/>
      <w:bookmarkEnd w:id="12"/>
      <w:bookmarkEnd w:id="13"/>
      <w:bookmarkEnd w:id="14"/>
      <w:bookmarkEnd w:id="15"/>
    </w:p>
    <w:p w14:paraId="3C303D89">
      <w:pPr>
        <w:pStyle w:val="57"/>
        <w:ind w:firstLine="420"/>
      </w:pPr>
      <w:bookmarkStart w:id="16" w:name="_Toc17233326"/>
      <w:bookmarkStart w:id="17" w:name="_Toc26648466"/>
      <w:bookmarkStart w:id="18" w:name="_Toc24884219"/>
      <w:bookmarkStart w:id="19" w:name="_Toc24884212"/>
      <w:bookmarkStart w:id="20" w:name="_Toc17233334"/>
      <w:r>
        <w:rPr>
          <w:rFonts w:hint="eastAsia"/>
        </w:rPr>
        <w:t>本文件提供了参保人员死亡后医疗保险个人账户一次性支取的服务对象、实施主体、申请条件、办理材料、办理流程、办理时限、办理途径、服务监督、评价与改进存档等等方面的指导。</w:t>
      </w:r>
    </w:p>
    <w:p w14:paraId="21B586DD">
      <w:pPr>
        <w:pStyle w:val="57"/>
        <w:ind w:firstLine="420"/>
      </w:pPr>
      <w:r>
        <w:rPr>
          <w:rFonts w:hint="eastAsia"/>
        </w:rPr>
        <w:t>本文件适用于参保人员死亡后医疗保险个人账户一次性支取的</w:t>
      </w:r>
      <w:r>
        <w:rPr>
          <w:rFonts w:hint="eastAsia" w:ascii="Calibri" w:hAnsi="Calibri"/>
          <w:kern w:val="2"/>
          <w:szCs w:val="21"/>
          <w:lang w:bidi="ar"/>
        </w:rPr>
        <w:t>服务工作</w:t>
      </w:r>
      <w:r>
        <w:rPr>
          <w:rFonts w:hint="eastAsia"/>
        </w:rPr>
        <w:t>。</w:t>
      </w:r>
    </w:p>
    <w:p w14:paraId="4C039ACF">
      <w:pPr>
        <w:pStyle w:val="105"/>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156DED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AF2682">
      <w:pPr>
        <w:pStyle w:val="57"/>
        <w:ind w:firstLine="420"/>
      </w:pPr>
      <w:r>
        <w:rPr>
          <w:rFonts w:hint="eastAsia"/>
        </w:rPr>
        <w:t>GB/T 27768  社会保险服务总则</w:t>
      </w:r>
    </w:p>
    <w:p w14:paraId="26652B9C">
      <w:pPr>
        <w:pStyle w:val="57"/>
        <w:ind w:firstLine="420"/>
      </w:pPr>
      <w:r>
        <w:rPr>
          <w:rFonts w:hint="eastAsia"/>
        </w:rPr>
        <w:t>GB/T 31596.1  社会保险术语  第1部分：通用</w:t>
      </w:r>
    </w:p>
    <w:p w14:paraId="1246C61C">
      <w:pPr>
        <w:pStyle w:val="57"/>
        <w:ind w:firstLine="420"/>
      </w:pPr>
      <w:r>
        <w:rPr>
          <w:rFonts w:hint="eastAsia"/>
        </w:rPr>
        <w:t>GB/T 31596.4  社会保险术语  第4部分：</w:t>
      </w:r>
      <w:r>
        <w:t>医疗保险</w:t>
      </w:r>
    </w:p>
    <w:p w14:paraId="402AC9C2">
      <w:pPr>
        <w:pStyle w:val="57"/>
        <w:ind w:firstLine="420"/>
      </w:pPr>
      <w:r>
        <w:rPr>
          <w:rFonts w:hint="eastAsia"/>
        </w:rPr>
        <w:t>GB/T 31599  社会保险业务档案管理规范</w:t>
      </w:r>
    </w:p>
    <w:p w14:paraId="448AEA0C">
      <w:pPr>
        <w:pStyle w:val="57"/>
        <w:ind w:firstLine="420"/>
      </w:pPr>
      <w:r>
        <w:rPr>
          <w:rFonts w:hint="eastAsia"/>
        </w:rPr>
        <w:t>待制定  海南省医疗保险业务档案管理规范</w:t>
      </w:r>
    </w:p>
    <w:p w14:paraId="2041AEA5">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D5B315">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2B43D68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64894E08">
      <w:pPr>
        <w:pStyle w:val="57"/>
        <w:ind w:firstLine="420"/>
      </w:pPr>
      <w:r>
        <w:rPr>
          <w:rFonts w:hint="eastAsia"/>
        </w:rPr>
        <w:t>自然人。</w:t>
      </w:r>
    </w:p>
    <w:p w14:paraId="02837F12">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9AE9A2D">
      <w:pPr>
        <w:pStyle w:val="57"/>
        <w:ind w:firstLine="420"/>
      </w:pPr>
      <w:r>
        <w:rPr>
          <w:rFonts w:hint="eastAsia"/>
          <w:color w:val="000000" w:themeColor="text1"/>
          <w14:textFill>
            <w14:solidFill>
              <w14:schemeClr w14:val="tx1"/>
            </w14:solidFill>
          </w14:textFill>
        </w:rPr>
        <w:t>全省各级医疗保险经办机构。</w:t>
      </w:r>
    </w:p>
    <w:p w14:paraId="0A5D728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DFEE4F8">
      <w:pPr>
        <w:pStyle w:val="57"/>
        <w:ind w:firstLine="420"/>
      </w:pPr>
      <w:r>
        <w:rPr>
          <w:rFonts w:hint="eastAsia"/>
        </w:rPr>
        <w:t>我省城镇职工基本医疗保险参保人员，死亡后在经办机构仍有个人账户余额未拨付,继承人可向医疗保险经办机构申请个人账户余额一次性返还。</w:t>
      </w:r>
    </w:p>
    <w:p w14:paraId="76A2E36C">
      <w:pPr>
        <w:pStyle w:val="105"/>
        <w:spacing w:before="312" w:after="312"/>
      </w:pPr>
      <w:r>
        <w:rPr>
          <w:rFonts w:hint="eastAsia"/>
        </w:rPr>
        <w:t>办理材料</w:t>
      </w:r>
    </w:p>
    <w:p w14:paraId="61FB9DAB">
      <w:pPr>
        <w:pStyle w:val="57"/>
        <w:ind w:firstLine="420"/>
        <w:rPr>
          <w:kern w:val="2"/>
          <w:szCs w:val="21"/>
        </w:rPr>
      </w:pPr>
      <w:r>
        <w:rPr>
          <w:rFonts w:hint="eastAsia"/>
        </w:rPr>
        <w:t>参保人员死亡后医疗保险个人账户一次性支取，需提供以下材料：</w:t>
      </w:r>
    </w:p>
    <w:p w14:paraId="0CDC97A5">
      <w:pPr>
        <w:pStyle w:val="175"/>
        <w:numPr>
          <w:ilvl w:val="0"/>
          <w:numId w:val="33"/>
        </w:numPr>
      </w:pPr>
      <w:r>
        <w:rPr>
          <w:rFonts w:hint="eastAsia"/>
        </w:rPr>
        <w:t>中华人民共和国社会保障卡或其他银行卡账号信息</w:t>
      </w:r>
      <w:r>
        <w:rPr>
          <w:rFonts w:hint="eastAsia"/>
          <w:lang w:eastAsia="zh-CN"/>
        </w:rPr>
        <w:t>（开户行）</w:t>
      </w:r>
      <w:r>
        <w:rPr>
          <w:rFonts w:hint="eastAsia"/>
        </w:rPr>
        <w:t>；</w:t>
      </w:r>
    </w:p>
    <w:p w14:paraId="05B24559">
      <w:pPr>
        <w:pStyle w:val="175"/>
        <w:numPr>
          <w:ilvl w:val="0"/>
          <w:numId w:val="33"/>
        </w:numPr>
      </w:pPr>
      <w:r>
        <w:rPr>
          <w:rFonts w:hint="eastAsia"/>
        </w:rPr>
        <w:t>继承公证书（非必需，待遇发放为非</w:t>
      </w:r>
      <w:r>
        <w:rPr>
          <w:rFonts w:hint="eastAsia"/>
          <w:lang w:eastAsia="zh-CN"/>
        </w:rPr>
        <w:t>死亡</w:t>
      </w:r>
      <w:r>
        <w:rPr>
          <w:rFonts w:hint="eastAsia"/>
        </w:rPr>
        <w:t>本人银行账户时需要提供）。</w:t>
      </w:r>
    </w:p>
    <w:p w14:paraId="231B27D9">
      <w:pPr>
        <w:pStyle w:val="105"/>
        <w:spacing w:before="312" w:after="312"/>
      </w:pPr>
      <w:r>
        <w:rPr>
          <w:rFonts w:hint="eastAsia"/>
        </w:rPr>
        <w:t>办理流程</w:t>
      </w:r>
    </w:p>
    <w:p w14:paraId="63D4725E">
      <w:pPr>
        <w:pStyle w:val="106"/>
        <w:spacing w:before="156" w:after="156"/>
        <w:ind w:left="0"/>
      </w:pPr>
      <w:r>
        <w:t>流程</w:t>
      </w:r>
    </w:p>
    <w:p w14:paraId="68346560">
      <w:pPr>
        <w:pStyle w:val="57"/>
        <w:ind w:firstLine="420"/>
      </w:pPr>
      <w:r>
        <w:rPr>
          <w:rFonts w:hint="eastAsia"/>
        </w:rPr>
        <w:t>参保人员死亡后医疗保险个人账户一次性支取流程包括：受理、审核、办结和归档，流程图见附录A。</w:t>
      </w:r>
    </w:p>
    <w:p w14:paraId="3D21FCED">
      <w:pPr>
        <w:pStyle w:val="106"/>
        <w:spacing w:before="156" w:after="156"/>
        <w:ind w:left="0"/>
      </w:pPr>
      <w:r>
        <w:rPr>
          <w:rFonts w:hint="eastAsia"/>
        </w:rPr>
        <w:t>受理</w:t>
      </w:r>
    </w:p>
    <w:p w14:paraId="5BF0DCE6">
      <w:pPr>
        <w:pStyle w:val="57"/>
        <w:ind w:firstLine="420"/>
      </w:pPr>
      <w:r>
        <w:rPr>
          <w:rFonts w:hint="eastAsia"/>
        </w:rPr>
        <w:t>参保人在窗口受理。核对申请人提交的申请材料是否齐全，符合申请条件，如果不符合申请条件，当场或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4257445D">
      <w:pPr>
        <w:pStyle w:val="106"/>
        <w:spacing w:before="156" w:after="156"/>
        <w:ind w:left="0"/>
      </w:pPr>
      <w:r>
        <w:rPr>
          <w:rFonts w:hint="eastAsia"/>
        </w:rPr>
        <w:t>审核</w:t>
      </w:r>
    </w:p>
    <w:p w14:paraId="28E67156">
      <w:pPr>
        <w:pStyle w:val="57"/>
        <w:ind w:firstLine="420"/>
      </w:pPr>
      <w:r>
        <w:rPr>
          <w:rFonts w:hint="eastAsia"/>
        </w:rPr>
        <w:t>核定继承材料，拨付个人账户待遇。</w:t>
      </w:r>
    </w:p>
    <w:p w14:paraId="2B96CA02">
      <w:pPr>
        <w:pStyle w:val="106"/>
        <w:spacing w:before="156" w:after="156"/>
        <w:ind w:left="0"/>
      </w:pPr>
      <w:r>
        <w:rPr>
          <w:rFonts w:hint="eastAsia"/>
        </w:rPr>
        <w:t>办结</w:t>
      </w:r>
    </w:p>
    <w:p w14:paraId="52D0796E">
      <w:pPr>
        <w:pStyle w:val="57"/>
        <w:ind w:firstLine="420"/>
      </w:pPr>
      <w:r>
        <w:rPr>
          <w:rFonts w:hint="eastAsia"/>
        </w:rPr>
        <w:t>申请符合有关规定的给予办结，将办理结果通知参保人。</w:t>
      </w:r>
    </w:p>
    <w:p w14:paraId="22CF4E79">
      <w:pPr>
        <w:pStyle w:val="106"/>
        <w:spacing w:before="156" w:after="156"/>
        <w:ind w:left="0"/>
      </w:pPr>
      <w:r>
        <w:rPr>
          <w:rFonts w:hint="eastAsia"/>
        </w:rPr>
        <w:t>归档</w:t>
      </w:r>
    </w:p>
    <w:p w14:paraId="060245D0">
      <w:pPr>
        <w:pStyle w:val="57"/>
        <w:ind w:firstLine="420"/>
      </w:pPr>
      <w:r>
        <w:rPr>
          <w:rFonts w:hint="eastAsia"/>
        </w:rPr>
        <w:t>办结事项，将相关信息材料进行归档。档案管理按 GB/T 31599 和《海南省医疗保险业务档案管理规范》要求执行。</w:t>
      </w:r>
    </w:p>
    <w:p w14:paraId="203CE57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5B3C338A">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rPr>
          <w:rFonts w:ascii="宋体" w:hAnsi="Times New Roman"/>
          <w:kern w:val="0"/>
          <w:szCs w:val="20"/>
        </w:rPr>
        <w:t>5</w:t>
      </w:r>
      <w:r>
        <w:t> </w:t>
      </w:r>
      <w:r>
        <w:rPr>
          <w:rFonts w:hint="eastAsia" w:ascii="宋体" w:hAnsi="Times New Roman"/>
          <w:kern w:val="0"/>
          <w:szCs w:val="20"/>
        </w:rPr>
        <w:t>个工作日内办结。</w:t>
      </w:r>
    </w:p>
    <w:p w14:paraId="2F921425">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21B8F35">
      <w:pPr>
        <w:pStyle w:val="57"/>
        <w:ind w:firstLine="420"/>
        <w:rPr>
          <w:szCs w:val="21"/>
        </w:rPr>
      </w:pPr>
      <w:r>
        <w:rPr>
          <w:rFonts w:hint="eastAsia"/>
        </w:rPr>
        <w:t>线下办理：省级社会保险经办机构服务大厅窗口，咨询电话（0898-12345）。</w:t>
      </w:r>
    </w:p>
    <w:p w14:paraId="4651ADD5">
      <w:pPr>
        <w:pStyle w:val="57"/>
        <w:ind w:firstLine="420"/>
        <w:rPr>
          <w:color w:val="FF0000"/>
        </w:rPr>
      </w:pPr>
      <w:r>
        <w:rPr>
          <w:rFonts w:hint="eastAsia"/>
        </w:rPr>
        <w:t>线上办理：</w:t>
      </w:r>
      <w:bookmarkStart w:id="28" w:name="_GoBack"/>
      <w:r>
        <w:rPr>
          <w:rFonts w:hint="eastAsia"/>
        </w:rPr>
        <w:t>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End w:id="28"/>
      <w:r>
        <w:rPr>
          <w:rFonts w:hint="eastAsia"/>
        </w:rPr>
        <w:t>。</w:t>
      </w:r>
    </w:p>
    <w:p w14:paraId="4686AC7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3792C372">
      <w:pPr>
        <w:pStyle w:val="106"/>
        <w:spacing w:before="156" w:after="156"/>
        <w:ind w:left="0"/>
      </w:pPr>
      <w:r>
        <w:rPr>
          <w:rFonts w:hint="eastAsia"/>
        </w:rPr>
        <w:t>服务</w:t>
      </w:r>
      <w:r>
        <w:t>监督</w:t>
      </w:r>
    </w:p>
    <w:p w14:paraId="1460B612">
      <w:pPr>
        <w:pStyle w:val="57"/>
        <w:ind w:firstLine="420"/>
      </w:pPr>
      <w:r>
        <w:rPr>
          <w:rFonts w:hint="eastAsia"/>
        </w:rPr>
        <w:t>主动向社会公示服务内容、服务流程、投诉渠道等信息，维护服务对象的知情权，接受行政监督和社会监督。</w:t>
      </w:r>
    </w:p>
    <w:p w14:paraId="5D359938">
      <w:pPr>
        <w:pStyle w:val="106"/>
        <w:spacing w:before="156" w:after="156"/>
        <w:ind w:left="0"/>
      </w:pPr>
      <w:r>
        <w:rPr>
          <w:rFonts w:hint="eastAsia"/>
        </w:rPr>
        <w:t>投诉处理</w:t>
      </w:r>
    </w:p>
    <w:p w14:paraId="6C43DA86">
      <w:pPr>
        <w:pStyle w:val="57"/>
        <w:ind w:firstLine="420"/>
      </w:pPr>
      <w:r>
        <w:rPr>
          <w:rFonts w:hint="eastAsia"/>
        </w:rPr>
        <w:t>提供现场、信函、电话、网络等投诉渠道，有专门部门和工作人员负责调查，处理服务对象的投诉，并将投诉处理结果告知投诉人。</w:t>
      </w:r>
    </w:p>
    <w:p w14:paraId="02233714">
      <w:pPr>
        <w:pStyle w:val="57"/>
        <w:ind w:firstLine="420"/>
      </w:pPr>
      <w:r>
        <w:rPr>
          <w:rFonts w:hint="eastAsia"/>
        </w:rPr>
        <w:t>监督投诉方式：</w:t>
      </w:r>
      <w:r>
        <w:t>0898-12345。</w:t>
      </w:r>
    </w:p>
    <w:p w14:paraId="1C049910">
      <w:pPr>
        <w:pStyle w:val="106"/>
        <w:spacing w:before="156" w:after="156"/>
        <w:ind w:left="0"/>
      </w:pPr>
      <w:r>
        <w:rPr>
          <w:rFonts w:hint="eastAsia"/>
        </w:rPr>
        <w:t>服务质量评价与</w:t>
      </w:r>
      <w:r>
        <w:t>改进</w:t>
      </w:r>
    </w:p>
    <w:p w14:paraId="7770C763">
      <w:pPr>
        <w:pStyle w:val="166"/>
      </w:pPr>
      <w:r>
        <w:rPr>
          <w:rFonts w:hint="eastAsia"/>
        </w:rPr>
        <w:t>采取内部评价与外部评价相结合，开展以服务对象满意度测评为核心要素的服务质量评价。</w:t>
      </w:r>
    </w:p>
    <w:p w14:paraId="3C9E2A3C">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r>
        <w:br w:type="page"/>
      </w:r>
    </w:p>
    <w:p w14:paraId="1AC710A6">
      <w:pPr>
        <w:pStyle w:val="77"/>
        <w:spacing w:after="156"/>
      </w:pPr>
      <w:r>
        <w:br w:type="textWrapping"/>
      </w:r>
      <w:r>
        <w:rPr>
          <w:rFonts w:hint="eastAsia"/>
        </w:rPr>
        <w:t>（规范性）</w:t>
      </w:r>
      <w:r>
        <w:br w:type="textWrapping"/>
      </w:r>
      <w:r>
        <w:rPr>
          <w:rFonts w:hint="eastAsia"/>
        </w:rPr>
        <w:t>参保人员死亡后医疗保险个人账户一次性支取流程图</w:t>
      </w:r>
    </w:p>
    <w:p w14:paraId="61D66367">
      <w:pPr>
        <w:pStyle w:val="57"/>
        <w:ind w:firstLine="420"/>
      </w:pPr>
      <w:r>
        <w:rPr>
          <w:rFonts w:hint="eastAsia"/>
        </w:rPr>
        <w:t>图A.1 参保人员死亡后医疗保险个人账户一次性支取流程图。</w:t>
      </w:r>
    </w:p>
    <w:p w14:paraId="78B061F9">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475E2B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7475E2B7">
                      <w:pPr>
                        <w:jc w:val="center"/>
                      </w:pPr>
                      <w:r>
                        <w:rPr>
                          <w:rFonts w:hint="eastAsia"/>
                        </w:rPr>
                        <w:t>不合格</w:t>
                      </w:r>
                    </w:p>
                  </w:txbxContent>
                </v:textbox>
              </v:shape>
            </w:pict>
          </mc:Fallback>
        </mc:AlternateContent>
      </w:r>
    </w:p>
    <w:p w14:paraId="21AB7B74">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F3E19A3">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0F3E19A3">
                      <w:pPr>
                        <w:jc w:val="center"/>
                      </w:pPr>
                      <w:r>
                        <w:rPr>
                          <w:rFonts w:hint="eastAsia"/>
                        </w:rPr>
                        <w:t>受理</w:t>
                      </w:r>
                    </w:p>
                  </w:txbxContent>
                </v:textbox>
              </v:shape>
            </w:pict>
          </mc:Fallback>
        </mc:AlternateContent>
      </w:r>
    </w:p>
    <w:p w14:paraId="4AABDD7E">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1908175"/>
                <wp:effectExtent l="38100" t="0" r="102870" b="5461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190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150.25pt;width:0.9pt;z-index:251670528;mso-width-relative:page;mso-height-relative:page;" filled="f" stroked="t" coordsize="21600,21600" o:gfxdata="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Rd822QAAAAoBAAAPAAAAAAAAAAEAIAAAACIAAABkcnMvZG93bnJldi54bWxQ&#10;SwECFAAUAAAACACHTuJAXpstn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3E5D0822">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363A46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7363A468">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77B604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377B604C">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20DE6A2">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1EF33FE">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51EF33FE">
                      <w:pPr>
                        <w:jc w:val="center"/>
                      </w:pPr>
                      <w:r>
                        <w:rPr>
                          <w:rFonts w:hint="eastAsia"/>
                        </w:rPr>
                        <w:t>审核</w:t>
                      </w:r>
                    </w:p>
                  </w:txbxContent>
                </v:textbox>
              </v:shape>
            </w:pict>
          </mc:Fallback>
        </mc:AlternateContent>
      </w:r>
    </w:p>
    <w:p w14:paraId="3A558601">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7E02B431">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5749AB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05749AB4">
                      <w:pPr>
                        <w:jc w:val="center"/>
                      </w:pPr>
                      <w:r>
                        <w:rPr>
                          <w:rFonts w:hint="eastAsia"/>
                        </w:rPr>
                        <w:t>合格</w:t>
                      </w:r>
                    </w:p>
                  </w:txbxContent>
                </v:textbox>
              </v:shap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1FBAA3B2">
                              <w:pPr>
                                <w:jc w:val="center"/>
                              </w:pPr>
                              <w:r>
                                <w:rPr>
                                  <w:rFonts w:hint="eastAsia"/>
                                </w:rPr>
                                <w:t>办结</w:t>
                              </w:r>
                            </w:p>
                            <w:p w14:paraId="56269B6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1552;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1FBAA3B2">
                        <w:pPr>
                          <w:jc w:val="center"/>
                        </w:pPr>
                        <w:r>
                          <w:rPr>
                            <w:rFonts w:hint="eastAsia"/>
                          </w:rPr>
                          <w:t>办结</w:t>
                        </w:r>
                      </w:p>
                      <w:p w14:paraId="56269B69">
                        <w:pPr>
                          <w:jc w:val="center"/>
                        </w:pPr>
                      </w:p>
                    </w:txbxContent>
                  </v:textbox>
                </v:shape>
              </v:group>
            </w:pict>
          </mc:Fallback>
        </mc:AlternateContent>
      </w:r>
    </w:p>
    <w:p w14:paraId="48C7C837">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1842770</wp:posOffset>
                </wp:positionH>
                <wp:positionV relativeFrom="paragraph">
                  <wp:posOffset>155575</wp:posOffset>
                </wp:positionV>
                <wp:extent cx="893445" cy="425450"/>
                <wp:effectExtent l="0" t="0" r="1905" b="0"/>
                <wp:wrapNone/>
                <wp:docPr id="476369182" name="文本框 47636918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D405FE7">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1pt;margin-top:12.25pt;height:33.5pt;width:70.35pt;z-index:-251640832;mso-width-relative:page;mso-height-relative:page;" fillcolor="#FFFFFF [3201]" filled="t" stroked="f" coordsize="21600,21600" o:gfxdata="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gxBNttUAAAAJ&#10;AQAADwAAAAAAAAABACAAAAAiAAAAZHJzL2Rvd25yZXYueG1sUEsBAhQAFAAAAAgAh07iQEyphL9Y&#10;AgAAngQAAA4AAAAAAAAAAQAgAAAAJAEAAGRycy9lMm9Eb2MueG1sUEsFBgAAAAAGAAYAWQEAAO4F&#10;AAAAAA==&#10;">
                <v:fill on="t" focussize="0,0"/>
                <v:stroke on="f" weight="0.5pt"/>
                <v:imagedata o:title=""/>
                <o:lock v:ext="edit" aspectratio="f"/>
                <v:textbox>
                  <w:txbxContent>
                    <w:p w14:paraId="7D405FE7">
                      <w:pPr>
                        <w:jc w:val="center"/>
                      </w:pPr>
                      <w:r>
                        <w:t>不</w:t>
                      </w:r>
                      <w:r>
                        <w:rPr>
                          <w:rFonts w:hint="eastAsia"/>
                        </w:rPr>
                        <w:t>合格</w:t>
                      </w:r>
                    </w:p>
                  </w:txbxContent>
                </v:textbox>
              </v:shape>
            </w:pict>
          </mc:Fallback>
        </mc:AlternateContent>
      </w:r>
    </w:p>
    <w:p w14:paraId="3358CF1B">
      <w:pPr>
        <w:pStyle w:val="57"/>
        <w:ind w:firstLine="0" w:firstLineChars="0"/>
        <w:jc w:val="center"/>
      </w:pPr>
    </w:p>
    <w:p w14:paraId="710E1293">
      <w:pPr>
        <w:pStyle w:val="84"/>
        <w:numPr>
          <w:ilvl w:val="0"/>
          <w:numId w:val="0"/>
        </w:numPr>
        <w:spacing w:before="156" w:after="156"/>
        <w:jc w:val="both"/>
      </w:pPr>
      <w:r>
        <mc:AlternateContent>
          <mc:Choice Requires="wps">
            <w:drawing>
              <wp:anchor distT="0" distB="0" distL="114300" distR="114300" simplePos="0" relativeHeight="251674624" behindDoc="0" locked="0" layoutInCell="1" allowOverlap="1">
                <wp:simplePos x="0" y="0"/>
                <wp:positionH relativeFrom="column">
                  <wp:posOffset>1691005</wp:posOffset>
                </wp:positionH>
                <wp:positionV relativeFrom="paragraph">
                  <wp:posOffset>125095</wp:posOffset>
                </wp:positionV>
                <wp:extent cx="1114425" cy="0"/>
                <wp:effectExtent l="0" t="0" r="0" b="0"/>
                <wp:wrapNone/>
                <wp:docPr id="136716320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9.85pt;height:0pt;width:87.75pt;z-index:251674624;mso-width-relative:page;mso-height-relative:page;" filled="f" stroked="t" coordsize="21600,21600" o:gfxdata="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ZrdW9YAAAAJAQAADwAAAAAAAAAB&#10;ACAAAAAiAAAAZHJzL2Rvd25yZXYueG1sUEsBAhQAFAAAAAgAh07iQJSdFCLZAQAAjAMAAA4AAAAA&#10;AAAAAQAgAAAAJQEAAGRycy9lMm9Eb2MueG1sUEsFBgAAAAAGAAYAWQEAAHAFA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3600" behindDoc="0" locked="0" layoutInCell="1" allowOverlap="1">
                <wp:simplePos x="0" y="0"/>
                <wp:positionH relativeFrom="column">
                  <wp:posOffset>2823845</wp:posOffset>
                </wp:positionH>
                <wp:positionV relativeFrom="paragraph">
                  <wp:posOffset>311150</wp:posOffset>
                </wp:positionV>
                <wp:extent cx="1295400" cy="719455"/>
                <wp:effectExtent l="0" t="0" r="19050" b="23495"/>
                <wp:wrapNone/>
                <wp:docPr id="1656890253"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1451961084" name="直接箭头连接符 1451961084"/>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0211621" name="文本框 380211621"/>
                        <wps:cNvSpPr txBox="1"/>
                        <wps:spPr>
                          <a:xfrm>
                            <a:off x="0" y="329184"/>
                            <a:ext cx="1295400" cy="390525"/>
                          </a:xfrm>
                          <a:prstGeom prst="rect">
                            <a:avLst/>
                          </a:prstGeom>
                          <a:solidFill>
                            <a:schemeClr val="lt1"/>
                          </a:solidFill>
                          <a:ln w="6350">
                            <a:solidFill>
                              <a:prstClr val="black"/>
                            </a:solidFill>
                          </a:ln>
                        </wps:spPr>
                        <wps:txbx>
                          <w:txbxContent>
                            <w:p w14:paraId="4CF52332">
                              <w:pPr>
                                <w:jc w:val="center"/>
                              </w:pPr>
                              <w:r>
                                <w:rPr>
                                  <w:rFonts w:hint="eastAsia"/>
                                </w:rPr>
                                <w:t>归档</w:t>
                              </w:r>
                            </w:p>
                            <w:p w14:paraId="735416DE">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35pt;margin-top:24.5pt;height:56.65pt;width:102pt;z-index:251673600;mso-width-relative:page;mso-height-relative:page;" coordsize="1295400,719709" o:gfxdata="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">
                <o:lock v:ext="edit" aspectratio="f"/>
                <v:shape id="_x0000_s1026" o:spid="_x0000_s1026" o:spt="32" type="#_x0000_t32" style="position:absolute;left:624840;top:0;height:323850;width:0;" filled="f" stroked="t" coordsize="21600,21600" o:gfxdata="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qHr1&#10;wAAAAOMAAAAPAAAAAAAAAAEAIAAAACIAAABkcnMvZG93bnJldi54bWxQSwECFAAUAAAACACHTuJA&#10;My8FnjsAAAA5AAAAEAAAAAAAAAABACAAAAAPAQAAZHJzL3NoYXBleG1sLnhtbFBLBQYAAAAABgAG&#10;AFsBAAC5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OmRXO8AAAADi&#10;AAAADwAAAGRycy9kb3ducmV2LnhtbEWPwWrDMBBE74X8g9hAb40kG0xwoxgSKITemvrS22JtbFNr&#10;ZSTVTv++KhR6HGbmDXNo7m4SC4U4ejagdwoEceftyL2B9v3laQ8iJmSLk2cy8E0RmuPm4YC19Su/&#10;0XJNvcgQjjUaGFKaayljN5DDuPMzcfZuPjhMWYZe2oBrhrtJFkpV0uHIeWHAmc4DdZ/XL2fgUp3S&#10;B7X21ZZF6ddWduE2RWMet1o9g0h0T//hv/bFGij3qtC6KjT8Xsp3QB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6ZFc7&#10;wAAAAOI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4CF52332">
                        <w:pPr>
                          <w:jc w:val="center"/>
                        </w:pPr>
                        <w:r>
                          <w:rPr>
                            <w:rFonts w:hint="eastAsia"/>
                          </w:rPr>
                          <w:t>归档</w:t>
                        </w:r>
                      </w:p>
                      <w:p w14:paraId="735416DE">
                        <w:pPr>
                          <w:jc w:val="center"/>
                        </w:pPr>
                      </w:p>
                    </w:txbxContent>
                  </v:textbox>
                </v:shape>
              </v:group>
            </w:pict>
          </mc:Fallback>
        </mc:AlternateContent>
      </w:r>
    </w:p>
    <w:p w14:paraId="43EB9474">
      <w:pPr>
        <w:pStyle w:val="57"/>
        <w:ind w:firstLine="420"/>
      </w:pPr>
    </w:p>
    <w:p w14:paraId="3FAAF424">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1019175</wp:posOffset>
                </wp:positionH>
                <wp:positionV relativeFrom="paragraph">
                  <wp:posOffset>69215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388804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5pt;margin-top:5.45pt;height:30.75pt;width:103.5pt;z-index:251665408;mso-width-relative:page;mso-height-relative:page;" fillcolor="#FFFFFF [3201]" filled="t" stroked="t" coordsize="21600,21600" o:gfxdata="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cAYp&#10;Fd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63888040">
                      <w:pPr>
                        <w:jc w:val="center"/>
                      </w:pPr>
                      <w:r>
                        <w:rPr>
                          <w:rFonts w:hint="eastAsia"/>
                        </w:rPr>
                        <w:t>一次性告知申请人</w:t>
                      </w:r>
                    </w:p>
                  </w:txbxContent>
                </v:textbox>
              </v:shape>
            </w:pict>
          </mc:Fallback>
        </mc:AlternateContent>
      </w:r>
    </w:p>
    <w:p w14:paraId="1C64E64B">
      <w:pPr>
        <w:pStyle w:val="57"/>
        <w:ind w:firstLine="420"/>
      </w:pPr>
    </w:p>
    <w:p w14:paraId="65E37D39">
      <w:pPr>
        <w:pStyle w:val="57"/>
        <w:ind w:firstLine="420"/>
      </w:pPr>
    </w:p>
    <w:p w14:paraId="6347D377">
      <w:pPr>
        <w:pStyle w:val="57"/>
        <w:ind w:firstLine="420"/>
      </w:pPr>
    </w:p>
    <w:p w14:paraId="55885B50">
      <w:pPr>
        <w:pStyle w:val="57"/>
        <w:ind w:firstLine="420"/>
      </w:pPr>
    </w:p>
    <w:p w14:paraId="6B23F928">
      <w:pPr>
        <w:pStyle w:val="84"/>
        <w:spacing w:before="156" w:after="156"/>
      </w:pPr>
      <w:r>
        <w:rPr>
          <w:rFonts w:hint="eastAsia"/>
        </w:rPr>
        <w:t>参保人员死亡后医疗保险个人账户一次性支取流程图</w:t>
      </w:r>
    </w:p>
    <w:p w14:paraId="5E1A5F5A">
      <w:pPr>
        <w:widowControl/>
        <w:adjustRightInd/>
        <w:spacing w:line="240" w:lineRule="auto"/>
        <w:jc w:val="left"/>
        <w:rPr>
          <w:rFonts w:ascii="宋体" w:hAnsi="Times New Roman"/>
          <w:kern w:val="0"/>
          <w:szCs w:val="20"/>
        </w:rPr>
      </w:pPr>
      <w:r>
        <w:br w:type="page"/>
      </w:r>
    </w:p>
    <w:bookmarkEnd w:id="25"/>
    <w:p w14:paraId="34C8E839">
      <w:pPr>
        <w:pStyle w:val="64"/>
        <w:spacing w:after="156"/>
      </w:pPr>
      <w:bookmarkStart w:id="26" w:name="BookMark6"/>
      <w:r>
        <w:rPr>
          <w:rFonts w:hint="eastAsia"/>
          <w:spacing w:val="105"/>
        </w:rPr>
        <w:t>参考文</w:t>
      </w:r>
      <w:r>
        <w:rPr>
          <w:rFonts w:hint="eastAsia"/>
        </w:rPr>
        <w:t>献</w:t>
      </w:r>
    </w:p>
    <w:p w14:paraId="1A819519">
      <w:pPr>
        <w:pStyle w:val="57"/>
        <w:numPr>
          <w:ilvl w:val="0"/>
          <w:numId w:val="34"/>
        </w:numPr>
        <w:ind w:firstLine="420" w:firstLineChars="0"/>
      </w:pPr>
      <w:r>
        <w:rPr>
          <w:rFonts w:hint="eastAsia"/>
        </w:rPr>
        <w:t>《中华人民共和国社会保险法》（ 中华人民共和国主席 第</w:t>
      </w:r>
      <w:r>
        <w:t> </w:t>
      </w:r>
      <w:r>
        <w:rPr>
          <w:rFonts w:hint="eastAsia"/>
        </w:rPr>
        <w:t>35</w:t>
      </w:r>
      <w:r>
        <w:t> </w:t>
      </w:r>
      <w:r>
        <w:rPr>
          <w:rFonts w:hint="eastAsia"/>
        </w:rPr>
        <w:t>号 ）</w:t>
      </w:r>
    </w:p>
    <w:p w14:paraId="78419102">
      <w:pPr>
        <w:pStyle w:val="57"/>
        <w:numPr>
          <w:ilvl w:val="0"/>
          <w:numId w:val="34"/>
        </w:numPr>
        <w:ind w:firstLine="420" w:firstLineChars="0"/>
      </w:pPr>
      <w:r>
        <w:rPr>
          <w:rFonts w:hint="eastAsia"/>
        </w:rPr>
        <w:t>《国家医疗保障局关于印发全国医疗保障经办政务服务事项清单的通知》（ 医保发〔2020〕</w:t>
      </w:r>
      <w:r>
        <w:t> </w:t>
      </w:r>
      <w:r>
        <w:rPr>
          <w:rFonts w:hint="eastAsia"/>
        </w:rPr>
        <w:t>18</w:t>
      </w:r>
      <w:r>
        <w:t> </w:t>
      </w:r>
      <w:r>
        <w:rPr>
          <w:rFonts w:hint="eastAsia"/>
        </w:rPr>
        <w:t>号）</w:t>
      </w:r>
    </w:p>
    <w:bookmarkEnd w:id="26"/>
    <w:p w14:paraId="0664EB06">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29C1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1102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750A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6566A">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0E154">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8EA3">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6FC90">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0B7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1DCE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87CD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0F3DA">
    <w:pPr>
      <w:pStyle w:val="62"/>
      <w:rPr>
        <w:rFonts w:hint="eastAsia"/>
      </w:rPr>
    </w:pPr>
    <w:r>
      <w:fldChar w:fldCharType="begin"/>
    </w:r>
    <w:r>
      <w:instrText xml:space="preserve"> STYLEREF  标准文件_文件编号  \* MERGEFORMAT </w:instrText>
    </w:r>
    <w:r>
      <w:fldChar w:fldCharType="separate"/>
    </w:r>
    <w:r>
      <w:t>Q/YLBZ 18—2025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9F59D">
    <w:pPr>
      <w:pStyle w:val="63"/>
      <w:rPr>
        <w:rFonts w:hint="eastAsia"/>
      </w:rPr>
    </w:pPr>
    <w:r>
      <w:fldChar w:fldCharType="begin"/>
    </w:r>
    <w:r>
      <w:instrText xml:space="preserve"> STYLEREF  标准文件_文件编号 \* MERGEFORMAT </w:instrText>
    </w:r>
    <w:r>
      <w:fldChar w:fldCharType="separate"/>
    </w:r>
    <w:r>
      <w:t>Q/YLBZ 18—2025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2A492">
    <w:pPr>
      <w:pStyle w:val="62"/>
      <w:rPr>
        <w:rFonts w:hint="eastAsia"/>
      </w:rPr>
    </w:pPr>
    <w:r>
      <w:fldChar w:fldCharType="begin"/>
    </w:r>
    <w:r>
      <w:instrText xml:space="preserve"> STYLEREF  标准文件_文件编号  \* MERGEFORMAT </w:instrText>
    </w:r>
    <w:r>
      <w:fldChar w:fldCharType="separate"/>
    </w:r>
    <w:r>
      <w:t>Q/YLBZ 18—2025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B246C">
    <w:pPr>
      <w:pStyle w:val="63"/>
      <w:rPr>
        <w:rFonts w:hint="eastAsia"/>
      </w:rPr>
    </w:pPr>
    <w:r>
      <w:fldChar w:fldCharType="begin"/>
    </w:r>
    <w:r>
      <w:instrText xml:space="preserve"> STYLEREF  标准文件_文件编号 \* MERGEFORMAT </w:instrText>
    </w:r>
    <w:r>
      <w:fldChar w:fldCharType="separate"/>
    </w:r>
    <w:r>
      <w:t>Q/YLBZ 18—2025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0XuwvemdFgjwtcsQtUaIXoXziYh1PG3BCozSkYGbbFYYnxpPL+0jTnHsP/5spTj+AlqQHJuarSz31HesSpDX3Q==" w:salt="hvz6ITmdTeHCuFSiefE/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5F5"/>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18A7"/>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081"/>
    <w:rsid w:val="001D411C"/>
    <w:rsid w:val="001E1B6A"/>
    <w:rsid w:val="001E2484"/>
    <w:rsid w:val="001E3CC4"/>
    <w:rsid w:val="001E4882"/>
    <w:rsid w:val="001E6733"/>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59DD"/>
    <w:rsid w:val="003B5BF0"/>
    <w:rsid w:val="003B60BF"/>
    <w:rsid w:val="003B6BE3"/>
    <w:rsid w:val="003B71D8"/>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1D9C"/>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97956"/>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663D"/>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291"/>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099"/>
    <w:rsid w:val="005E7881"/>
    <w:rsid w:val="005E78E0"/>
    <w:rsid w:val="005F0D9C"/>
    <w:rsid w:val="005F284E"/>
    <w:rsid w:val="005F46C3"/>
    <w:rsid w:val="005F6B0D"/>
    <w:rsid w:val="005F6F8C"/>
    <w:rsid w:val="006015CE"/>
    <w:rsid w:val="00604784"/>
    <w:rsid w:val="00606419"/>
    <w:rsid w:val="00607D29"/>
    <w:rsid w:val="00612952"/>
    <w:rsid w:val="00612B41"/>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238A"/>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A7A1F"/>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2C5"/>
    <w:rsid w:val="00703DE9"/>
    <w:rsid w:val="00704355"/>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3D18"/>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1B5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4951"/>
    <w:rsid w:val="00935BBD"/>
    <w:rsid w:val="00936B91"/>
    <w:rsid w:val="00940760"/>
    <w:rsid w:val="00941780"/>
    <w:rsid w:val="009429D5"/>
    <w:rsid w:val="00942BF1"/>
    <w:rsid w:val="00943744"/>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1095"/>
    <w:rsid w:val="009C1301"/>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3239"/>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213"/>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1F83"/>
    <w:rsid w:val="00E626FF"/>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2B73"/>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273C"/>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1860"/>
    <w:rsid w:val="00F93973"/>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1F5B"/>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108160EB"/>
    <w:rsid w:val="15504279"/>
    <w:rsid w:val="16416A25"/>
    <w:rsid w:val="19295F35"/>
    <w:rsid w:val="1B74679A"/>
    <w:rsid w:val="267620C8"/>
    <w:rsid w:val="2B8E658C"/>
    <w:rsid w:val="2DFB5B15"/>
    <w:rsid w:val="316136A3"/>
    <w:rsid w:val="32AB6927"/>
    <w:rsid w:val="376744E6"/>
    <w:rsid w:val="3B902F2A"/>
    <w:rsid w:val="3D424389"/>
    <w:rsid w:val="3EAA0E86"/>
    <w:rsid w:val="440C56F0"/>
    <w:rsid w:val="460F5A38"/>
    <w:rsid w:val="48C53FA5"/>
    <w:rsid w:val="49F20EE5"/>
    <w:rsid w:val="4CCC1508"/>
    <w:rsid w:val="559D264C"/>
    <w:rsid w:val="59E54F9C"/>
    <w:rsid w:val="5AD3266C"/>
    <w:rsid w:val="5CDC1103"/>
    <w:rsid w:val="5D886856"/>
    <w:rsid w:val="61EF80A6"/>
    <w:rsid w:val="62375BD7"/>
    <w:rsid w:val="6278717D"/>
    <w:rsid w:val="63A61260"/>
    <w:rsid w:val="65F51133"/>
    <w:rsid w:val="67BD092C"/>
    <w:rsid w:val="67FF9D4A"/>
    <w:rsid w:val="69774840"/>
    <w:rsid w:val="6AA43001"/>
    <w:rsid w:val="6C5E39FC"/>
    <w:rsid w:val="6CB322FE"/>
    <w:rsid w:val="6CEB328A"/>
    <w:rsid w:val="6DAA54AF"/>
    <w:rsid w:val="739C3AEB"/>
    <w:rsid w:val="74B3733F"/>
    <w:rsid w:val="74F17E67"/>
    <w:rsid w:val="766F7295"/>
    <w:rsid w:val="798740CF"/>
    <w:rsid w:val="7AD95625"/>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71385DB1">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318E7C95">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0ACFB9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E08AC"/>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B71D8"/>
    <w:rsid w:val="003C6CB1"/>
    <w:rsid w:val="003D4A66"/>
    <w:rsid w:val="003E48C7"/>
    <w:rsid w:val="004257B3"/>
    <w:rsid w:val="004424A4"/>
    <w:rsid w:val="00442B88"/>
    <w:rsid w:val="004671DF"/>
    <w:rsid w:val="00473FC9"/>
    <w:rsid w:val="00475B81"/>
    <w:rsid w:val="00481DD2"/>
    <w:rsid w:val="00497486"/>
    <w:rsid w:val="004B4B58"/>
    <w:rsid w:val="004D05CD"/>
    <w:rsid w:val="00521F85"/>
    <w:rsid w:val="00530F92"/>
    <w:rsid w:val="005619B3"/>
    <w:rsid w:val="005C6321"/>
    <w:rsid w:val="00600A55"/>
    <w:rsid w:val="00607842"/>
    <w:rsid w:val="00615A00"/>
    <w:rsid w:val="006365F7"/>
    <w:rsid w:val="00681EBF"/>
    <w:rsid w:val="00706744"/>
    <w:rsid w:val="007228F7"/>
    <w:rsid w:val="007374DB"/>
    <w:rsid w:val="007503EC"/>
    <w:rsid w:val="0075442D"/>
    <w:rsid w:val="00790C58"/>
    <w:rsid w:val="007C1527"/>
    <w:rsid w:val="00801E36"/>
    <w:rsid w:val="008205B7"/>
    <w:rsid w:val="00843907"/>
    <w:rsid w:val="00866762"/>
    <w:rsid w:val="00870230"/>
    <w:rsid w:val="00870674"/>
    <w:rsid w:val="00881BCD"/>
    <w:rsid w:val="0089344F"/>
    <w:rsid w:val="008A2689"/>
    <w:rsid w:val="008F3AF1"/>
    <w:rsid w:val="0090175A"/>
    <w:rsid w:val="009137E8"/>
    <w:rsid w:val="00936B91"/>
    <w:rsid w:val="00951A26"/>
    <w:rsid w:val="00960FB8"/>
    <w:rsid w:val="00971354"/>
    <w:rsid w:val="009950AE"/>
    <w:rsid w:val="009C50AC"/>
    <w:rsid w:val="009C7213"/>
    <w:rsid w:val="00A44E98"/>
    <w:rsid w:val="00A46637"/>
    <w:rsid w:val="00A476B5"/>
    <w:rsid w:val="00A4798C"/>
    <w:rsid w:val="00AA0BD1"/>
    <w:rsid w:val="00B26BF7"/>
    <w:rsid w:val="00B7432F"/>
    <w:rsid w:val="00BB7A3C"/>
    <w:rsid w:val="00BE4F96"/>
    <w:rsid w:val="00C31817"/>
    <w:rsid w:val="00C52771"/>
    <w:rsid w:val="00C74246"/>
    <w:rsid w:val="00C75182"/>
    <w:rsid w:val="00C86552"/>
    <w:rsid w:val="00C966BA"/>
    <w:rsid w:val="00CC08FE"/>
    <w:rsid w:val="00CE180F"/>
    <w:rsid w:val="00CF170D"/>
    <w:rsid w:val="00D93CA1"/>
    <w:rsid w:val="00DA658A"/>
    <w:rsid w:val="00DA69B2"/>
    <w:rsid w:val="00DB4ED4"/>
    <w:rsid w:val="00DD5D6A"/>
    <w:rsid w:val="00DE5D39"/>
    <w:rsid w:val="00DF3589"/>
    <w:rsid w:val="00E018CD"/>
    <w:rsid w:val="00E22479"/>
    <w:rsid w:val="00E25076"/>
    <w:rsid w:val="00E470C7"/>
    <w:rsid w:val="00E62E5F"/>
    <w:rsid w:val="00E71625"/>
    <w:rsid w:val="00EA7917"/>
    <w:rsid w:val="00EE58E2"/>
    <w:rsid w:val="00F02C39"/>
    <w:rsid w:val="00F03326"/>
    <w:rsid w:val="00F44506"/>
    <w:rsid w:val="00F76702"/>
    <w:rsid w:val="00FC646D"/>
    <w:rsid w:val="00FC7279"/>
    <w:rsid w:val="00FE4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179</Words>
  <Characters>210</Characters>
  <Lines>68</Lines>
  <Paragraphs>75</Paragraphs>
  <TotalTime>0</TotalTime>
  <ScaleCrop>false</ScaleCrop>
  <LinksUpToDate>false</LinksUpToDate>
  <CharactersWithSpaces>223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2025-06-27T02:24:46Z</dcterms:modified>
  <dc:title>企业标准</dc:title>
  <cp:revision>388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